
<file path=[Content_Types].xml><?xml version="1.0" encoding="utf-8"?>
<Types xmlns="http://schemas.openxmlformats.org/package/2006/content-types"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AB" w:rsidRPr="00BB2FAB" w:rsidRDefault="00BB2FAB" w:rsidP="00BB2FAB">
      <w:r w:rsidRPr="00BB2FA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-62865</wp:posOffset>
            </wp:positionV>
            <wp:extent cx="600075" cy="714375"/>
            <wp:effectExtent l="19050" t="0" r="9525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FAB" w:rsidRPr="00BB2FAB" w:rsidRDefault="00BB2FAB" w:rsidP="00BB2FAB">
      <w:r w:rsidRPr="00BB2FAB">
        <w:t xml:space="preserve">                                                                                                                        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СОВЕТ ДЕПУТАТОВ СЕЛЬСКОГО ПОСЕЛЕНИЯ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ТИХВИНСКИЙ СЕЛЬСОВЕТ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45-я сессия VI созыва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РЕШЕНИЕ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19.04.2024                           д. Большая Плавица                           №170-рс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сельского поселения 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 на 2024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FAB">
        <w:rPr>
          <w:rFonts w:ascii="Times New Roman" w:hAnsi="Times New Roman" w:cs="Times New Roman"/>
          <w:sz w:val="24"/>
          <w:szCs w:val="24"/>
        </w:rPr>
        <w:t xml:space="preserve">2025 и 2026 годов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FAB">
        <w:rPr>
          <w:rFonts w:ascii="Times New Roman" w:hAnsi="Times New Roman" w:cs="Times New Roman"/>
          <w:sz w:val="24"/>
          <w:szCs w:val="24"/>
        </w:rPr>
        <w:t xml:space="preserve">Рассмотрев представленный администрацией сельского поселения Тихвинский сельсовет проект решения «О бюджете сельского поселения 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 Российской Федерации  на 2024 год и плановый период 2025 и 2026 годы», руководствуясь Положением «О бюджетном  процессе сельского поселения Тихвинский сельсовет», ст. 30 Устава сельского поселения  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района, учитывая рекомендации постоянных комиссий, Совет депутатов сельского поселения Тихвинский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РЕШИЛ: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1.Принять изменения в бюджет сельского поселения 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 на 2024 год и на плановый период 2025 и 2026 годов  (прилагаются).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2. Направить указанный нормативный  правовой акт главе сельского поселения для подписания и официального обнародования.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 3.Настоящее решение вступает в силу со дня его официального обнародования.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Тихвинский сельсовет                                                           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В.И.Макаричева</w:t>
      </w:r>
      <w:proofErr w:type="spellEnd"/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B2FAB" w:rsidRPr="00BB2FAB" w:rsidRDefault="00BB2FAB" w:rsidP="00BB2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</w:p>
    <w:p w:rsidR="00BB2FAB" w:rsidRPr="00BB2FAB" w:rsidRDefault="00BB2FAB" w:rsidP="00BB2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решением Совета депутатов сельского</w:t>
      </w:r>
    </w:p>
    <w:p w:rsidR="00BB2FAB" w:rsidRPr="00BB2FAB" w:rsidRDefault="00BB2FAB" w:rsidP="00BB2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поселения Тихвинский сельсовет </w:t>
      </w:r>
    </w:p>
    <w:p w:rsidR="00BB2FAB" w:rsidRPr="00BB2FAB" w:rsidRDefault="00BB2FAB" w:rsidP="00BB2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№-170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от 19.04.2024 г.  </w:t>
      </w:r>
    </w:p>
    <w:p w:rsidR="00BB2FAB" w:rsidRPr="00BB2FAB" w:rsidRDefault="00BB2FAB" w:rsidP="00BB2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ИЗМЕНЕНИЯ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в бюджет сельского поселения 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 на 2024 год и на плановый период 2025 и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Внести в бюджет сельского поселения 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 на 2024 и на плановый период 2025 и 2026 годов (утв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>ешением Совета депутатов №149-рс от 27.12.2023г.)  следующие изменения  :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1) в статье 1.: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2  цифры «6 702 295,41» заменить цифрами «6 772 723,41»;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добавить в пункте 1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3 следующего содержания «3) дефицит бюджета  в сумме  70 428,00 рублей»;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добавить пункт 3 следующего содержания «3.Утвердить источники финансирования дефицита бюджета сельского поселения на 2024 год и на плановый период 2025 и 2026 годов согласно приложению 9 к настоящему решению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   2)статью 5 дополнить пунктом 6 следующего содержания: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 xml:space="preserve">Повысить с 1 марта 2024 года в 1,05 раза размеры должностных   окладов и окладов за классный чин лиц, замещающих должности муниципальной службы Тихвинского сельсовета, установленные решением сессии Совета депутатов Тихвинского сельсовета от 15 декабря 2019 года № 211-рс Положение «О денежном содержании и социальных гарантиях лиц, замещающих должности муниципальной службы администрации сельского поселения 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муниципального района" (в редакции решений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21-рс от 07.12.2020 г., №49-рс от 21.05.2021г., №69-рс от 28.12.2021г., №113-рс от 16.01.2023г., 118-рс от 20.02.2023г.,№144-рс от 31.10.2023г., №151-рс от 27.12.2023г., №165-рс от 29.03.2024г.)</w:t>
      </w:r>
      <w:proofErr w:type="gramEnd"/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FAB">
        <w:rPr>
          <w:rFonts w:ascii="Times New Roman" w:hAnsi="Times New Roman" w:cs="Times New Roman"/>
          <w:sz w:val="24"/>
          <w:szCs w:val="24"/>
        </w:rPr>
        <w:t xml:space="preserve">Установить, что при индексации должностных   окладов  и окладов   за классный чин лиц, замещающих должности муниципальной службы Тихвинского сельсовета,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</w:t>
      </w:r>
      <w:r w:rsidRPr="00BB2FAB">
        <w:rPr>
          <w:rFonts w:ascii="Times New Roman" w:hAnsi="Times New Roman" w:cs="Times New Roman"/>
          <w:sz w:val="24"/>
          <w:szCs w:val="24"/>
        </w:rPr>
        <w:lastRenderedPageBreak/>
        <w:t>поощрения лиц, замещающих должности муниципальной службы Тихвинского сельсовета, подлежат округлению до целого рубля в сторону увеличения.»</w:t>
      </w:r>
      <w:proofErr w:type="gramEnd"/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  3)Приложения: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№4 изложить в новой редакции 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№4 к настоящему решению (прилагается).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№5 изложить в новой редакции 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№5 к настоящему решению (прилагается).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№6 изложить в новой редакции 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№6 к настоящему решению (прилагается).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№7 изложить в новой редакции 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№7 к настоящему решению (прилагается).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  4) Настоящие изменения вступают в силу со дня его официального обнародования.      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Тихвинский сельсовет                                                                    А.Г. Кондратов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  <w:sectPr w:rsidR="00BB2FAB" w:rsidRPr="00BB2FAB" w:rsidSect="001D405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0" w:footer="0" w:gutter="0"/>
          <w:cols w:space="1701"/>
          <w:docGrid w:linePitch="360"/>
        </w:sectPr>
      </w:pPr>
      <w:r w:rsidRPr="00BB2FAB">
        <w:rPr>
          <w:rFonts w:ascii="Times New Roman" w:hAnsi="Times New Roman" w:cs="Times New Roman"/>
          <w:sz w:val="24"/>
          <w:szCs w:val="24"/>
        </w:rPr>
        <w:br w:type="page"/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к бюджету сельского поселения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муниципального района Липецкой области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Российской Федерации на 2024 год 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плановый период 2025 и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РАСПРЕДЕЛЕНИЕ БЮДЖЕТНЫХ АССИГНОВАНИЙ СЕЛЬСКОГО ПОСЕЛЕНИЯ ПО РАЗДЕЛАМ И ПОДРАЗДЕЛАМКЛАССИФИКАЦИИ РАСХОДОВ БЮДЖЕТОВ РОССИЙСКОЙ ФЕДЕРАЦИИ НА 2024 ГОД И НА ПЛАНОВЫЙ ПЕРИОД 2025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  <w:t>руб.</w:t>
      </w:r>
      <w:r w:rsidRPr="00BB2FA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BB2FAB" w:rsidRPr="00BB2FAB" w:rsidTr="00953711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2026 год</w:t>
            </w:r>
          </w:p>
        </w:tc>
      </w:tr>
      <w:tr w:rsidR="00BB2FAB" w:rsidRPr="00BB2FAB" w:rsidTr="0095371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6 772 723,41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5 278 535,73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5 347 662,44</w:t>
            </w:r>
          </w:p>
        </w:tc>
      </w:tr>
      <w:tr w:rsidR="00BB2FAB" w:rsidRPr="00BB2FAB" w:rsidTr="0095371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3 342 149,25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3 202 057,88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3 198 157,87</w:t>
            </w:r>
          </w:p>
        </w:tc>
      </w:tr>
      <w:tr w:rsidR="00BB2FAB" w:rsidRPr="00BB2FAB" w:rsidTr="0095371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2 241 571,00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2 103 359,00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2 099 459,00</w:t>
            </w:r>
          </w:p>
        </w:tc>
      </w:tr>
      <w:tr w:rsidR="00BB2FAB" w:rsidRPr="00BB2FAB" w:rsidTr="0095371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финансово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27 000,88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27 000,87</w:t>
            </w:r>
          </w:p>
        </w:tc>
      </w:tr>
      <w:tr w:rsidR="00BB2FAB" w:rsidRPr="00BB2FAB" w:rsidTr="0095371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1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</w:tbl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  <w:sectPr w:rsidR="00BB2FAB" w:rsidRPr="00BB2FAB" w:rsidSect="001D4053">
          <w:pgSz w:w="16838" w:h="11906" w:orient="landscape" w:code="9"/>
          <w:pgMar w:top="426" w:right="425" w:bottom="851" w:left="1134" w:header="709" w:footer="0" w:gutter="0"/>
          <w:cols w:space="708"/>
          <w:docGrid w:linePitch="360"/>
        </w:sect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к бюджету сельского поселения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муниципального района Липецкой области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Российской Федерации на 2024 год 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плановый период 2025 и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ВЕДОМСТВЕННАЯ   СТРУКТУРА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РАСХОДОВ БЮДЖЕТА СЕЛЬСКОГО ПОСЕЛЕНИЯ НА 2024 ГОД И НА ПЛАНОВЫЙ ПЕРИОД 2025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руб.</w:t>
      </w:r>
    </w:p>
    <w:tbl>
      <w:tblPr>
        <w:tblW w:w="15877" w:type="dxa"/>
        <w:tblInd w:w="-856" w:type="dxa"/>
        <w:tblLayout w:type="fixed"/>
        <w:tblLook w:val="04A0"/>
      </w:tblPr>
      <w:tblGrid>
        <w:gridCol w:w="6947"/>
        <w:gridCol w:w="992"/>
        <w:gridCol w:w="567"/>
        <w:gridCol w:w="567"/>
        <w:gridCol w:w="1417"/>
        <w:gridCol w:w="709"/>
        <w:gridCol w:w="1559"/>
        <w:gridCol w:w="1560"/>
        <w:gridCol w:w="1559"/>
      </w:tblGrid>
      <w:tr w:rsidR="00BB2FAB" w:rsidRPr="00BB2FAB" w:rsidTr="00953711">
        <w:trPr>
          <w:cantSplit/>
          <w:trHeight w:val="1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B2FAB" w:rsidRPr="00BB2FAB" w:rsidTr="00953711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Тихвинский сельсовет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6 772 723,41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5 347 662,44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3 342 149,25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3 198 157,87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44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2 241 571,00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2 099 459,00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«Мероприятия, направленные на организацию 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(повышение квалификации муниципальных служащих органов местного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образования)»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мероприятие по совершенствованию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01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01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2 075 459,00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2 075 459,00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1 370 250,00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1 374 578,00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1 370 250,00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1 374 578,00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847 321,00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700 881,00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"/>
            <w:bookmarkStart w:id="1" w:name="OLE_LINK1"/>
            <w:bookmarkEnd w:id="0"/>
            <w:bookmarkEnd w:id="1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797 321,00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650 881,00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B2FAB" w:rsidRPr="00BB2FAB" w:rsidTr="0095371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01 4 02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02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02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5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оплату членских взносов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48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на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осущетвление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части закупок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абот,услуг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конкурентными способами определения поставщиков (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подрядчиков,исполнителей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)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151 200,00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Культура, 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</w:tbl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к бюджету сельского поселения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муниципального района Липецкой области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Российской Федерации на 2024 год 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плановый период 2025 и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</w:t>
      </w:r>
      <w:proofErr w:type="gramStart"/>
      <w:r w:rsidRPr="00BB2FA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B2FAB">
        <w:rPr>
          <w:rFonts w:ascii="Times New Roman" w:hAnsi="Times New Roman" w:cs="Times New Roman"/>
          <w:sz w:val="24"/>
          <w:szCs w:val="24"/>
        </w:rPr>
        <w:t xml:space="preserve">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</w:r>
      <w:r w:rsidRPr="00BB2FAB">
        <w:rPr>
          <w:rFonts w:ascii="Times New Roman" w:hAnsi="Times New Roman" w:cs="Times New Roman"/>
          <w:sz w:val="24"/>
          <w:szCs w:val="24"/>
        </w:rPr>
        <w:tab/>
        <w:t>руб.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885" w:type="dxa"/>
        <w:tblInd w:w="-856" w:type="dxa"/>
        <w:tblLayout w:type="fixed"/>
        <w:tblLook w:val="04A0"/>
      </w:tblPr>
      <w:tblGrid>
        <w:gridCol w:w="6947"/>
        <w:gridCol w:w="567"/>
        <w:gridCol w:w="567"/>
        <w:gridCol w:w="1417"/>
        <w:gridCol w:w="709"/>
        <w:gridCol w:w="1559"/>
        <w:gridCol w:w="1560"/>
        <w:gridCol w:w="1559"/>
      </w:tblGrid>
      <w:tr w:rsidR="00BB2FAB" w:rsidRPr="00BB2FAB" w:rsidTr="00953711">
        <w:trPr>
          <w:cantSplit/>
          <w:trHeight w:val="123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B2FAB" w:rsidRPr="00BB2FAB" w:rsidTr="00953711">
        <w:trPr>
          <w:trHeight w:val="86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Тихвинский сельсовет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6 772 723,41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5 347 662,44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3 342 149,25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3 198 157,87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930 718,00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2 241 571,00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2 099 459,00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«Мероприятия, направленные на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 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(повышение квалификации муниципальных служащих органов местного самоуправления муниципального образования)»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мероприятие по совершенствованию муниципального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01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01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2 075 459,00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2 217 571,00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2 075 459,00</w:t>
            </w:r>
          </w:p>
        </w:tc>
      </w:tr>
      <w:tr w:rsidR="00BB2FAB" w:rsidRPr="00BB2FAB" w:rsidTr="00953711">
        <w:trPr>
          <w:trHeight w:val="34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1 370 250,00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1 374 578,00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847 321,00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1 374 578,00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797 321,00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700 881,00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1 046 120,00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650 881,00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B2FAB" w:rsidRPr="00BB2FAB" w:rsidTr="0095371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3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2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27 000,87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23 000,87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02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02 S6790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2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48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на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осущетвление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части закупок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абот,услуг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конкурентными способами определения поставщиков (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подрядчиков,исполнителей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162 700,00</w:t>
            </w:r>
          </w:p>
        </w:tc>
      </w:tr>
      <w:tr w:rsidR="00BB2FAB" w:rsidRPr="00BB2FAB" w:rsidTr="0095371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151 200,00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человека и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природной среды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01 3 00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905 390,16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</w:tbl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ab/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  <w:sectPr w:rsidR="00BB2FAB" w:rsidRPr="00BB2FAB" w:rsidSect="001D4053">
          <w:pgSz w:w="16838" w:h="11906" w:orient="landscape" w:code="9"/>
          <w:pgMar w:top="284" w:right="425" w:bottom="851" w:left="1134" w:header="709" w:footer="0" w:gutter="0"/>
          <w:cols w:space="708"/>
          <w:docGrid w:linePitch="360"/>
        </w:sect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Приложение № 7</w:t>
      </w:r>
      <w:r w:rsidRPr="00BB2FAB">
        <w:rPr>
          <w:rFonts w:ascii="Times New Roman" w:hAnsi="Times New Roman" w:cs="Times New Roman"/>
          <w:sz w:val="24"/>
          <w:szCs w:val="24"/>
        </w:rPr>
        <w:tab/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к бюджету сельского поселения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муниципального района Липецкой области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Российской Федерации на 2024 год и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плановый период 2025 и 2026 годов                                                                                                                                                                                                                        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09" w:type="dxa"/>
        <w:tblLayout w:type="fixed"/>
        <w:tblLook w:val="04A0"/>
      </w:tblPr>
      <w:tblGrid>
        <w:gridCol w:w="6521"/>
        <w:gridCol w:w="425"/>
        <w:gridCol w:w="426"/>
        <w:gridCol w:w="567"/>
        <w:gridCol w:w="1134"/>
        <w:gridCol w:w="850"/>
        <w:gridCol w:w="567"/>
        <w:gridCol w:w="709"/>
        <w:gridCol w:w="1559"/>
        <w:gridCol w:w="1418"/>
        <w:gridCol w:w="1417"/>
      </w:tblGrid>
      <w:tr w:rsidR="00BB2FAB" w:rsidRPr="00BB2FAB" w:rsidTr="00953711">
        <w:trPr>
          <w:trHeight w:val="1272"/>
        </w:trPr>
        <w:tc>
          <w:tcPr>
            <w:tcW w:w="15593" w:type="dxa"/>
            <w:gridSpan w:val="11"/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и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      </w:r>
          </w:p>
        </w:tc>
      </w:tr>
      <w:tr w:rsidR="00BB2FAB" w:rsidRPr="00BB2FAB" w:rsidTr="00953711">
        <w:trPr>
          <w:trHeight w:val="383"/>
        </w:trPr>
        <w:tc>
          <w:tcPr>
            <w:tcW w:w="15593" w:type="dxa"/>
            <w:gridSpan w:val="11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B2FAB" w:rsidRPr="00BB2FAB" w:rsidTr="00953711">
        <w:trPr>
          <w:trHeight w:val="510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B2FAB" w:rsidRPr="00BB2FAB" w:rsidTr="00953711">
        <w:trPr>
          <w:trHeight w:val="600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AB" w:rsidRPr="00BB2FAB" w:rsidTr="00953711">
        <w:trPr>
          <w:trHeight w:val="78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3 342 474,41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1 766 421,44</w:t>
            </w:r>
          </w:p>
        </w:tc>
      </w:tr>
      <w:tr w:rsidR="00BB2FAB" w:rsidRPr="00BB2FAB" w:rsidTr="00953711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1 834406,16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342 337,85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264 344,57</w:t>
            </w:r>
          </w:p>
        </w:tc>
      </w:tr>
      <w:tr w:rsidR="00BB2FAB" w:rsidRPr="00BB2FAB" w:rsidTr="00953711">
        <w:trPr>
          <w:trHeight w:val="55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56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929 016,00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953711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7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680 000,16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174 344,57</w:t>
            </w:r>
          </w:p>
        </w:tc>
      </w:tr>
      <w:tr w:rsidR="00BB2FAB" w:rsidRPr="00BB2FAB" w:rsidTr="00953711">
        <w:trPr>
          <w:trHeight w:val="5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111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 «Прочие мероприятия по благоустройству сельского поселения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99999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225 390,00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B2FAB" w:rsidRPr="00BB2FAB" w:rsidTr="00953711">
        <w:trPr>
          <w:trHeight w:val="69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70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12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1 440 076,00</w:t>
            </w:r>
          </w:p>
        </w:tc>
      </w:tr>
      <w:tr w:rsidR="00BB2FAB" w:rsidRPr="00BB2FAB" w:rsidTr="00953711">
        <w:trPr>
          <w:trHeight w:val="68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112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98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FAB" w:rsidRPr="00BB2FAB" w:rsidTr="00953711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47 000,25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47 000,88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47 000,87</w:t>
            </w:r>
          </w:p>
        </w:tc>
      </w:tr>
      <w:tr w:rsidR="00BB2FAB" w:rsidRPr="00BB2FAB" w:rsidTr="00953711">
        <w:trPr>
          <w:trHeight w:val="98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«Мероприятия, направленные на организацию 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(повышение квалификации муниципальных служащих </w:t>
            </w: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местного самоуправления муниципального образования)»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84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муниципальных служащих органов местного самоуправления муниципального образования)»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B2FAB" w:rsidRPr="00BB2FAB" w:rsidTr="00953711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«Приобретение услуг  по сопровождению сетевого программного обеспечения по электронному  ведению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 учета»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69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18 000,87</w:t>
            </w:r>
          </w:p>
        </w:tc>
      </w:tr>
      <w:tr w:rsidR="00BB2FAB" w:rsidRPr="00BB2FAB" w:rsidTr="00953711">
        <w:trPr>
          <w:trHeight w:val="70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«Ежегодные членские взносы в ассоциацию «Совета муниципальных образований»»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4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оплату членских взносов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B2FAB" w:rsidRPr="00BB2FAB" w:rsidTr="00953711">
        <w:trPr>
          <w:trHeight w:val="42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3 342 474,41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1 766 421,44</w:t>
            </w:r>
          </w:p>
        </w:tc>
      </w:tr>
      <w:tr w:rsidR="00BB2FAB" w:rsidRPr="00BB2FAB" w:rsidTr="00953711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3 430 249,00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3 434 121,00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3 581 241,00</w:t>
            </w:r>
          </w:p>
        </w:tc>
      </w:tr>
      <w:tr w:rsidR="00BB2FAB" w:rsidRPr="00BB2FAB" w:rsidTr="00953711">
        <w:trPr>
          <w:trHeight w:val="56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</w:tr>
      <w:tr w:rsidR="00BB2FAB" w:rsidRPr="00BB2FAB" w:rsidTr="00953711">
        <w:trPr>
          <w:trHeight w:val="153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930 718,00</w:t>
            </w:r>
          </w:p>
        </w:tc>
      </w:tr>
      <w:tr w:rsidR="00BB2FAB" w:rsidRPr="00BB2FAB" w:rsidTr="00953711">
        <w:trPr>
          <w:trHeight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2 499 531,00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2 371 439,00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2 383 139,00</w:t>
            </w:r>
          </w:p>
        </w:tc>
      </w:tr>
      <w:tr w:rsidR="00BB2FAB" w:rsidRPr="00BB2FAB" w:rsidTr="00953711">
        <w:trPr>
          <w:trHeight w:val="33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131 964,00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267 384,00</w:t>
            </w:r>
          </w:p>
        </w:tc>
      </w:tr>
      <w:tr w:rsidR="00BB2FAB" w:rsidRPr="00BB2FAB" w:rsidTr="00953711">
        <w:trPr>
          <w:trHeight w:val="126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1 370 250,00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1 374 578,00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1 374 578,00</w:t>
            </w:r>
          </w:p>
        </w:tc>
      </w:tr>
      <w:tr w:rsidR="00BB2FAB" w:rsidRPr="00BB2FAB" w:rsidTr="00953711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797 321,00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654 781,00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650 881,00</w:t>
            </w:r>
          </w:p>
        </w:tc>
      </w:tr>
      <w:tr w:rsidR="00BB2FAB" w:rsidRPr="00BB2FAB" w:rsidTr="00953711">
        <w:trPr>
          <w:trHeight w:val="84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B2FAB" w:rsidRPr="00BB2FAB" w:rsidTr="00953711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142 860,00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140 980,00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140 980,00</w:t>
            </w:r>
          </w:p>
        </w:tc>
      </w:tr>
      <w:tr w:rsidR="00BB2FAB" w:rsidRPr="00BB2FAB" w:rsidTr="00953711">
        <w:trPr>
          <w:trHeight w:val="127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на осуществление полномочий в части закупок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абот,услуг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B2FAB" w:rsidRPr="00BB2FAB" w:rsidTr="00953711">
        <w:trPr>
          <w:trHeight w:val="126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123 600,00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135 600,00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151 200,00</w:t>
            </w:r>
          </w:p>
        </w:tc>
      </w:tr>
      <w:tr w:rsidR="00BB2FAB" w:rsidRPr="00BB2FAB" w:rsidTr="00953711">
        <w:trPr>
          <w:trHeight w:val="98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11 500,00</w:t>
            </w:r>
          </w:p>
        </w:tc>
      </w:tr>
      <w:tr w:rsidR="00BB2FAB" w:rsidRPr="00BB2FAB" w:rsidTr="00953711">
        <w:trPr>
          <w:trHeight w:val="3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6 772 723,41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5 278 535,73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5 347 662,44</w:t>
            </w:r>
          </w:p>
        </w:tc>
      </w:tr>
    </w:tbl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  <w:r w:rsidRPr="00BB2FAB">
        <w:rPr>
          <w:rFonts w:ascii="Times New Roman" w:hAnsi="Times New Roman" w:cs="Times New Roman"/>
          <w:sz w:val="24"/>
          <w:szCs w:val="24"/>
        </w:rPr>
        <w:tab/>
      </w:r>
    </w:p>
    <w:p w:rsidR="00BB2FAB" w:rsidRPr="00BB2FAB" w:rsidRDefault="00BB2FAB" w:rsidP="00BB2FAB">
      <w:pPr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к бюджету сельского поселения</w:t>
      </w:r>
    </w:p>
    <w:p w:rsidR="00BB2FAB" w:rsidRDefault="00BB2FAB" w:rsidP="00BB2FAB">
      <w:pPr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Тихвинский сельсовет </w:t>
      </w:r>
      <w:proofErr w:type="spellStart"/>
      <w:r w:rsidRPr="00BB2FAB"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 w:rsidRPr="00BB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FAB" w:rsidRPr="00BB2FAB" w:rsidRDefault="00BB2FAB" w:rsidP="00BB2FAB">
      <w:pPr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муниципального района Липецкой области </w:t>
      </w:r>
    </w:p>
    <w:p w:rsidR="00BB2FAB" w:rsidRPr="00BB2FAB" w:rsidRDefault="00BB2FAB" w:rsidP="00BB2FAB">
      <w:pPr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Российской Федерации на 2024 год и </w:t>
      </w:r>
    </w:p>
    <w:p w:rsidR="00BB2FAB" w:rsidRPr="00BB2FAB" w:rsidRDefault="00BB2FAB" w:rsidP="00BB2FAB">
      <w:pPr>
        <w:jc w:val="right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 xml:space="preserve">плановый период 2025 и 2026 годов                                                                                                                                                                                                                        </w:t>
      </w:r>
    </w:p>
    <w:p w:rsidR="00BB2FAB" w:rsidRP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ИСТОЧНИКИ ФИНАНСИРОВАНИЯ ДЕФИЦИТА</w:t>
      </w:r>
    </w:p>
    <w:p w:rsidR="00BB2FAB" w:rsidRDefault="00BB2FAB" w:rsidP="00BB2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FAB">
        <w:rPr>
          <w:rFonts w:ascii="Times New Roman" w:hAnsi="Times New Roman" w:cs="Times New Roman"/>
          <w:sz w:val="24"/>
          <w:szCs w:val="24"/>
        </w:rPr>
        <w:t>БЮДЖЕТА СЕЛЬСКОГО ПОСЕЛЕНИЯ НА 2024 ГОД И НА ПЛАНОВЫЙ ПЕРИОД 2025 и 2026 годов</w:t>
      </w: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288" w:tblpY="6976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709"/>
        <w:gridCol w:w="2302"/>
        <w:gridCol w:w="1701"/>
        <w:gridCol w:w="992"/>
        <w:gridCol w:w="1027"/>
      </w:tblGrid>
      <w:tr w:rsidR="00BB2FAB" w:rsidRPr="00BB2FAB" w:rsidTr="00BB2FA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B2FAB" w:rsidRPr="00BB2FAB" w:rsidTr="00BB2FA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BB2FA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BB2FA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B2FAB">
              <w:rPr>
                <w:rFonts w:ascii="Times New Roman" w:hAnsi="Times New Roman" w:cs="Times New Roman"/>
                <w:sz w:val="24"/>
                <w:szCs w:val="24"/>
              </w:rPr>
              <w:t xml:space="preserve"> 10 0000 000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70 428,00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FAB" w:rsidRPr="00BB2FAB" w:rsidTr="00BB2FA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70 428,00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B" w:rsidRPr="00BB2FAB" w:rsidRDefault="00BB2FAB" w:rsidP="00B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B2FAB" w:rsidRPr="00BB2FAB" w:rsidRDefault="00BB2FAB" w:rsidP="00BB2FAB">
      <w:pPr>
        <w:rPr>
          <w:rFonts w:ascii="Times New Roman" w:hAnsi="Times New Roman" w:cs="Times New Roman"/>
          <w:sz w:val="24"/>
          <w:szCs w:val="24"/>
        </w:rPr>
      </w:pPr>
    </w:p>
    <w:p w:rsidR="00B731D9" w:rsidRPr="00BB2FAB" w:rsidRDefault="00B731D9">
      <w:pPr>
        <w:rPr>
          <w:rFonts w:ascii="Times New Roman" w:hAnsi="Times New Roman" w:cs="Times New Roman"/>
          <w:sz w:val="24"/>
          <w:szCs w:val="24"/>
        </w:rPr>
      </w:pPr>
    </w:p>
    <w:sectPr w:rsidR="00B731D9" w:rsidRPr="00BB2FAB" w:rsidSect="00BB10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B" w:rsidRPr="00BB2FAB" w:rsidRDefault="00BB2FAB" w:rsidP="00BB2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B" w:rsidRPr="00BB2FAB" w:rsidRDefault="00BB2FAB" w:rsidP="00BB2F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B" w:rsidRPr="00BB2FAB" w:rsidRDefault="00BB2FAB" w:rsidP="00BB2FA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53" w:rsidRPr="00BB2FAB" w:rsidRDefault="00BB2FAB" w:rsidP="00BB2FA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53" w:rsidRPr="00BB2FAB" w:rsidRDefault="00BB2FAB" w:rsidP="00BB2FA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53" w:rsidRPr="00BB2FAB" w:rsidRDefault="00BB2FAB" w:rsidP="00BB2FA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B" w:rsidRPr="00BB2FAB" w:rsidRDefault="00BB2FAB" w:rsidP="00BB2F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B" w:rsidRPr="00BB2FAB" w:rsidRDefault="00BB2FAB" w:rsidP="00BB2FA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B" w:rsidRPr="00BB2FAB" w:rsidRDefault="00BB2FAB" w:rsidP="00BB2FA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53" w:rsidRPr="00BB2FAB" w:rsidRDefault="00BB2FAB" w:rsidP="00BB2FA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53" w:rsidRPr="00BB2FAB" w:rsidRDefault="00BB2FAB" w:rsidP="00BB2FA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53" w:rsidRPr="00BB2FAB" w:rsidRDefault="00BB2FAB" w:rsidP="00BB2F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FAB"/>
    <w:rsid w:val="00B731D9"/>
    <w:rsid w:val="00BB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6051</Words>
  <Characters>34494</Characters>
  <Application>Microsoft Office Word</Application>
  <DocSecurity>0</DocSecurity>
  <Lines>287</Lines>
  <Paragraphs>80</Paragraphs>
  <ScaleCrop>false</ScaleCrop>
  <Company/>
  <LinksUpToDate>false</LinksUpToDate>
  <CharactersWithSpaces>40465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2024-04-23T12:11:00Z</dcterms:created>
  <dcterms:modified xsi:type="dcterms:W3CDTF">2024-04-23T12:18:00Z</dcterms:modified>
</cp:coreProperties>
</file>