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E8" w:rsidRPr="00841052" w:rsidRDefault="00C27DE8" w:rsidP="00C27D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«Утверждаю»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27DE8" w:rsidRPr="00841052" w:rsidRDefault="00C27DE8" w:rsidP="00C27D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Зам. руководителя</w:t>
      </w:r>
    </w:p>
    <w:p w:rsidR="00C27DE8" w:rsidRPr="00841052" w:rsidRDefault="00C27DE8" w:rsidP="00C27DE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УФНС России по Липецкой области </w:t>
      </w:r>
    </w:p>
    <w:p w:rsidR="00C27DE8" w:rsidRPr="00841052" w:rsidRDefault="00C27DE8" w:rsidP="00C2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__________О.В. </w:t>
      </w:r>
      <w:proofErr w:type="spellStart"/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Рощупкина</w:t>
      </w:r>
      <w:proofErr w:type="spellEnd"/>
    </w:p>
    <w:p w:rsidR="00C27DE8" w:rsidRPr="00841052" w:rsidRDefault="00C27DE8" w:rsidP="00C27DE8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“   ”мая  2023 года</w:t>
      </w:r>
    </w:p>
    <w:p w:rsidR="00C27DE8" w:rsidRPr="00841052" w:rsidRDefault="00C27DE8" w:rsidP="00C27D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105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 для сайта:</w:t>
      </w:r>
    </w:p>
    <w:p w:rsidR="00C27DE8" w:rsidRPr="00841052" w:rsidRDefault="00C27DE8" w:rsidP="00C27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C27DE8" w:rsidRPr="00841052" w:rsidRDefault="00C27DE8" w:rsidP="006C3C3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Публикуем ответы на вопросы налогоплательщиков </w:t>
      </w:r>
      <w:r w:rsidR="0056212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</w:t>
      </w:r>
      <w:r w:rsidR="00E15E5D" w:rsidRPr="00841052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о </w:t>
      </w:r>
      <w:r w:rsidR="0056212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результатам </w:t>
      </w:r>
      <w:proofErr w:type="spellStart"/>
      <w:r w:rsidR="0056212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вебинара</w:t>
      </w:r>
      <w:proofErr w:type="spellEnd"/>
    </w:p>
    <w:p w:rsidR="006C500A" w:rsidRPr="00841052" w:rsidRDefault="00C27DE8" w:rsidP="006C3C3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052">
        <w:rPr>
          <w:rFonts w:ascii="Times New Roman" w:hAnsi="Times New Roman" w:cs="Times New Roman"/>
          <w:sz w:val="26"/>
          <w:szCs w:val="26"/>
        </w:rPr>
        <w:t xml:space="preserve">УФНС России по Липецкой области </w:t>
      </w:r>
      <w:r w:rsidR="008C78A8" w:rsidRPr="00841052">
        <w:rPr>
          <w:rFonts w:ascii="Times New Roman" w:hAnsi="Times New Roman" w:cs="Times New Roman"/>
          <w:sz w:val="26"/>
          <w:szCs w:val="26"/>
        </w:rPr>
        <w:t xml:space="preserve">размещает ответы на вопросы, которые были заданы налогоплательщиками в ходе </w:t>
      </w:r>
      <w:proofErr w:type="spellStart"/>
      <w:r w:rsidR="008C78A8" w:rsidRPr="00841052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="008C78A8" w:rsidRPr="0084105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C78A8" w:rsidRPr="00841052">
        <w:rPr>
          <w:rFonts w:ascii="Times New Roman" w:hAnsi="Times New Roman" w:cs="Times New Roman"/>
          <w:sz w:val="26"/>
          <w:szCs w:val="26"/>
        </w:rPr>
        <w:t xml:space="preserve">на тему </w:t>
      </w:r>
      <w:r w:rsidRPr="00841052">
        <w:rPr>
          <w:rFonts w:ascii="Times New Roman" w:hAnsi="Times New Roman" w:cs="Times New Roman"/>
          <w:sz w:val="26"/>
          <w:szCs w:val="26"/>
        </w:rPr>
        <w:t xml:space="preserve">получения имущественных </w:t>
      </w:r>
      <w:r w:rsidR="008B010C" w:rsidRPr="00841052">
        <w:rPr>
          <w:rFonts w:ascii="Times New Roman" w:hAnsi="Times New Roman" w:cs="Times New Roman"/>
          <w:sz w:val="26"/>
          <w:szCs w:val="26"/>
        </w:rPr>
        <w:t xml:space="preserve">и </w:t>
      </w:r>
      <w:r w:rsidRPr="00841052">
        <w:rPr>
          <w:rFonts w:ascii="Times New Roman" w:hAnsi="Times New Roman" w:cs="Times New Roman"/>
          <w:sz w:val="26"/>
          <w:szCs w:val="26"/>
        </w:rPr>
        <w:t xml:space="preserve">социальных налоговых вычетов. </w:t>
      </w:r>
    </w:p>
    <w:p w:rsidR="00E15E5D" w:rsidRPr="00841052" w:rsidRDefault="008C78A8" w:rsidP="006C3C39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1. </w:t>
      </w:r>
      <w:r w:rsidR="00E15E5D" w:rsidRPr="008410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Максимальная сумма социального налогового вычета на обучение, если платн</w:t>
      </w:r>
      <w:r w:rsidR="004D0A4C" w:rsidRPr="008410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обучаются два ребенка в семье?</w:t>
      </w:r>
    </w:p>
    <w:p w:rsidR="00E15E5D" w:rsidRPr="00841052" w:rsidRDefault="00E15E5D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Социальный налоговый вычет представляется в размере фактически произведенных расходов на обучение, но не более 50 000 рублей на каждого ребенка в общей сумме на обоих родителей (опекуна или попечителя), уплаченной налогоплательщиком-родителем за обучение своих детей в возрасте до 24 лет, налогоплательщиком-опекуном (налогоплательщиком-попечителем) за обучение своих подопечных в возрасте до 18 лет по очной форме обучения в организациях, осуществляющих образовательную деятельность. </w:t>
      </w:r>
    </w:p>
    <w:p w:rsidR="003D7A46" w:rsidRPr="00841052" w:rsidRDefault="003D7A46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A46" w:rsidRPr="00841052" w:rsidRDefault="00E15E5D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получение указанного социального налогового вычета распространяется на налогоплательщиков, осуществлявших обязанности опекуна или попечителя над гражданами, бывшими их подопечными,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организациях, осуществляющих образовательную деятельность.</w:t>
      </w:r>
    </w:p>
    <w:p w:rsidR="00322045" w:rsidRPr="00841052" w:rsidRDefault="00322045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E5D" w:rsidRPr="00841052" w:rsidRDefault="008C78A8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</w:t>
      </w:r>
      <w:r w:rsidR="00E15E5D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двоих детей в семье максимальна</w:t>
      </w:r>
      <w:r w:rsidR="003D7A46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сумма вычета может составить - </w:t>
      </w:r>
      <w:r w:rsidR="00E15E5D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E15E5D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8C78A8" w:rsidRPr="00841052" w:rsidRDefault="008C78A8" w:rsidP="006C3C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2. </w:t>
      </w:r>
      <w:r w:rsidR="00E15E5D" w:rsidRPr="008410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Вычет на спорт и порядок его предоставления.</w:t>
      </w:r>
    </w:p>
    <w:p w:rsidR="00E15E5D" w:rsidRPr="00841052" w:rsidRDefault="00E15E5D" w:rsidP="006C3C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Налогоплательщики смогут возместить свои расходы на физкультурно-оздоровительные услуги, понесенные начиная с 2022 года, заявив вычет по НДФЛ.</w:t>
      </w:r>
    </w:p>
    <w:p w:rsidR="003B2F75" w:rsidRPr="00841052" w:rsidRDefault="00E15E5D" w:rsidP="006C3C39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Указанный вычет будет предоставляться в размере фактически произведенных расходов. Однако</w:t>
      </w:r>
      <w:r w:rsid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не должен превышать 120 тысяч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за год в совокупности с другими социальными вычетами, установленными </w:t>
      </w:r>
      <w:hyperlink r:id="rId6" w:history="1">
        <w:r w:rsidRPr="008410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НК</w:t>
        </w:r>
      </w:hyperlink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РФ. </w:t>
      </w:r>
    </w:p>
    <w:p w:rsidR="003B2F75" w:rsidRPr="00841052" w:rsidRDefault="003B2F75" w:rsidP="006C3C39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C39" w:rsidRPr="00841052" w:rsidRDefault="00E15E5D" w:rsidP="006C3C39">
      <w:pPr>
        <w:widowControl w:val="0"/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такой вычет можно, если на дату фактически произведенных налогоплательщиком расходов физкультурно-спортивная организация (индивидуальный предприниматель) включена в соответствующий ежегодный перечень. Первый перечень сформирован </w:t>
      </w:r>
      <w:proofErr w:type="spellStart"/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Минспортом</w:t>
      </w:r>
      <w:proofErr w:type="spellEnd"/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1 декабря 2021 года и размещен на его официальном сайте.</w:t>
      </w:r>
    </w:p>
    <w:p w:rsidR="00E15E5D" w:rsidRPr="00841052" w:rsidRDefault="00E15E5D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вычета в налоговом органе следует представить декларацию по </w:t>
      </w:r>
      <w:hyperlink r:id="rId7" w:history="1">
        <w:r w:rsidRPr="008410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форме 3-НДФЛ</w:t>
        </w:r>
      </w:hyperlink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2022 год и приложить к ней подтверждающие документы - 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копии договора на предоставление физкультурно-оздоровительных услуг и кассовый чек.</w:t>
      </w:r>
    </w:p>
    <w:p w:rsidR="00603D8E" w:rsidRPr="00841052" w:rsidRDefault="00603D8E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E5D" w:rsidRPr="00841052" w:rsidRDefault="00E15E5D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У работодателя же можно получить вычет быстрее. Если планируется пол</w:t>
      </w:r>
      <w:r w:rsidR="008C78A8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учать вычет у работодателя, то 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представить в налоговый орган подтверждающие документы вместе с </w:t>
      </w:r>
      <w:hyperlink r:id="rId8" w:history="1">
        <w:r w:rsidRPr="008410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подтверждении права на социальный налоговый вычет. </w:t>
      </w:r>
    </w:p>
    <w:p w:rsidR="00603D8E" w:rsidRPr="00841052" w:rsidRDefault="00603D8E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E5D" w:rsidRPr="00841052" w:rsidRDefault="00E15E5D" w:rsidP="003B2F75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подтверждении права на вычет выдается налоговым органом не позднее 30 календарных дней со дня подачи в налоговый орган заявления и подтверждающих документов</w:t>
      </w:r>
      <w:r w:rsidR="008C78A8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E5D" w:rsidRPr="00841052" w:rsidRDefault="008C78A8" w:rsidP="006C3C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3. </w:t>
      </w:r>
      <w:r w:rsidR="00E15E5D" w:rsidRPr="008410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Нужно ли уплачивать налог, если квартира подарена несовершеннолетнем</w:t>
      </w:r>
      <w:r w:rsidRPr="008410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 ребенку посторонним человеком?</w:t>
      </w:r>
    </w:p>
    <w:p w:rsidR="00E15E5D" w:rsidRPr="00841052" w:rsidRDefault="00E15E5D" w:rsidP="006C3C39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E5D" w:rsidRPr="00841052" w:rsidRDefault="00E15E5D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spellStart"/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C78A8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пункта 18.1 статьи 217 </w:t>
      </w:r>
      <w:r w:rsidR="00322045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НК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доходы, полученные в порядке дарения, освобождаются от налогообложения в случае, если даритель и одаряемый являются членами семьи и (или) близкими родственниками в соответствии с Семейным кодексом Российской Федерации (супругами, родителями и детьми, в том числе усыновителями и усыновленными, дедушкой, бабушкой и внуками, полнородными и </w:t>
      </w:r>
      <w:proofErr w:type="spellStart"/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неполнородными</w:t>
      </w:r>
      <w:proofErr w:type="spellEnd"/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(имеющими общих отца или мать) братьями и сестрами).</w:t>
      </w:r>
    </w:p>
    <w:p w:rsidR="00603D8E" w:rsidRPr="00841052" w:rsidRDefault="00603D8E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E5D" w:rsidRPr="00841052" w:rsidRDefault="00E15E5D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в виде недвижимого имущества, полученного в порядке дарения, облагаются НДФЛ, если даритель и одаряемый не являются членами семьи или близкими родственниками. Поскольку несовершеннолетнему подарена недвижимость физическим лицом, не являющимся близким родственником, то лицо, получившее в дар квартиру, обязано самостоятельно исчислить НДФЛ, уплатить его в бюджет и представить декларацию в налоговую инспекцию по месту жительства.</w:t>
      </w:r>
    </w:p>
    <w:p w:rsidR="00603D8E" w:rsidRPr="00841052" w:rsidRDefault="00603D8E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3D8E" w:rsidRPr="00841052" w:rsidRDefault="00E15E5D" w:rsidP="003B2F75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получении несовершеннолетним ребенком дохода, обязанность по уплате налога от имени ребенка и представлению налоговой декларации возлагается на его родителей (опекунов) как на законных представителей несовершеннолетнего. При этом ответственность за неуплату налогов несут также родители или опекуны.</w:t>
      </w:r>
    </w:p>
    <w:p w:rsidR="00E15E5D" w:rsidRPr="00841052" w:rsidRDefault="00603D8E" w:rsidP="006C3C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4.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E5D" w:rsidRPr="008410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Есть ли срок давности для п</w:t>
      </w:r>
      <w:r w:rsidRPr="008410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редоставления налоговых вычетов?</w:t>
      </w:r>
    </w:p>
    <w:p w:rsidR="00603D8E" w:rsidRPr="00841052" w:rsidRDefault="00603D8E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E5D" w:rsidRPr="00841052" w:rsidRDefault="00E15E5D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налоговых вычетов по налогу на доходы физических лиц можно в любое время в течение трех лет по окончании налогового периода, в котором налогоплательщиком были произведены соответствующие расходы.</w:t>
      </w:r>
    </w:p>
    <w:p w:rsidR="00603D8E" w:rsidRPr="00841052" w:rsidRDefault="00603D8E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E5D" w:rsidRPr="00841052" w:rsidRDefault="00E15E5D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Лишь пенсионеры могут обратиться за имущественными налоговыми вычетами по приобретению жилья - в течение четырех лет, но не более трех непосредственно предшествующих налоговому периоду, в котором образовался переносимый остаток имущественных налоговых вычетов.</w:t>
      </w:r>
    </w:p>
    <w:p w:rsidR="00603D8E" w:rsidRPr="00841052" w:rsidRDefault="00603D8E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E5D" w:rsidRPr="00841052" w:rsidRDefault="00E15E5D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налогоплательщик (не являющийся пенсионером) приобрел жилой объект в 2019 году, соответственно</w:t>
      </w:r>
      <w:r w:rsidR="00E9377F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377F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имущественный налоговый вычет </w:t>
      </w:r>
      <w:r w:rsidR="00E9377F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заявить</w:t>
      </w:r>
      <w:r w:rsidR="00E9377F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представив налоговую декларацию по форме 3-НДФЛ в 2023 год</w:t>
      </w:r>
      <w:r w:rsidR="004D0A4C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у, за </w:t>
      </w:r>
      <w:r w:rsidR="004D0A4C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период 2020, 2021, 2022 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D0A4C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за данные периоды плательщик не использовал положенный ему имущественный налоговый вычет, то остаток будет перенесен на последующие налоговые периоды. </w:t>
      </w:r>
    </w:p>
    <w:p w:rsidR="00603D8E" w:rsidRPr="00841052" w:rsidRDefault="00603D8E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3D8E" w:rsidRPr="00841052" w:rsidRDefault="00E15E5D" w:rsidP="003B2F75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налоговый вычет предоставляется за период, в котором понесены затраты. Перенос остатков социальных налоговых вычетов не предусмотрен.</w:t>
      </w:r>
    </w:p>
    <w:p w:rsidR="00E15E5D" w:rsidRPr="00841052" w:rsidRDefault="00603D8E" w:rsidP="006C3C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5.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E5D" w:rsidRPr="008410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построен дом и зарегистрирован на жену, может ли муж воспользоваться имущественным</w:t>
      </w:r>
      <w:r w:rsidRPr="008410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вычетом? Какие нужны документы?</w:t>
      </w:r>
    </w:p>
    <w:p w:rsidR="00603D8E" w:rsidRPr="00841052" w:rsidRDefault="00603D8E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3D8E" w:rsidRPr="00841052" w:rsidRDefault="00E15E5D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приобретения или строительства жилья в совместную собственность каждый из </w:t>
      </w:r>
      <w:r w:rsidR="00E9377F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супругов имеет право на вычет за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покупку жилья в размере понесенных расходов независимо от того, на имя кого из супругов оформлено право собственности на данную недвижимость и платежные документы. Максимальный размер вычета на покупку жилья, который может быть предоставлен каждому из супругов, - 2 млн. руб. </w:t>
      </w:r>
    </w:p>
    <w:p w:rsidR="00603D8E" w:rsidRPr="00841052" w:rsidRDefault="00E15E5D" w:rsidP="006C3C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погашение процентов по займу (кредиту) максимальный размер такого вычета для каждого из супругов в отношении одного объекта недвижимости может быть предоставлен в размере 3 млн руб., если кредит получен в период с 01.01.2014.</w:t>
      </w:r>
      <w:r w:rsidR="00603D8E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377F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 словами,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 может составить 260 000 руб. по затратам на приобретение и 390 000руб. по оплаченным процентам. </w:t>
      </w:r>
    </w:p>
    <w:p w:rsidR="00603D8E" w:rsidRPr="00841052" w:rsidRDefault="00E15E5D" w:rsidP="006C3C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 НДФЛ производится не един</w:t>
      </w:r>
      <w:r w:rsidR="0098327C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овременной суммой, а в пределах 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</w:t>
      </w:r>
      <w:r w:rsidR="0098327C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удержанного за налоговый период.</w:t>
      </w:r>
      <w:r w:rsidR="00603D8E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603D8E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например, за год налоговая база с которой удержан НДФЛ составила 2</w:t>
      </w:r>
      <w:r w:rsidR="00E9377F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т</w:t>
      </w:r>
      <w:r w:rsidR="00603D8E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возврат составит 260</w:t>
      </w:r>
      <w:r w:rsidR="00E9377F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</w:t>
      </w:r>
      <w:r w:rsidR="00603D8E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603D8E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например, за год налоговая база с которой удержан НДФЛ составила 300</w:t>
      </w:r>
      <w:r w:rsidR="00E9377F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то возврат составит 39</w:t>
      </w:r>
      <w:r w:rsidR="00E9377F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 Остаток имущественного налогового вычета будет перенесен на последующие налоговые периоды. </w:t>
      </w:r>
    </w:p>
    <w:p w:rsidR="00E15E5D" w:rsidRPr="00841052" w:rsidRDefault="00E15E5D" w:rsidP="006C3C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оплата расходов по приобретению жилья была произведена за счет общей собственности супругов, они оба считаются участвующими в расходах по приобретению (строительству). Следовательно, супруг может получить имущественный налоговый вычет при приобретении (строительстве) жилья, даже если платежные документы оформлены на другого супруга.</w:t>
      </w:r>
      <w:r w:rsidR="003B2F75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повторное предоставление права на получение данного имущественного налогового вычета не допускается.</w:t>
      </w:r>
    </w:p>
    <w:p w:rsidR="003B2F75" w:rsidRPr="00841052" w:rsidRDefault="003B2F75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E5D" w:rsidRPr="00841052" w:rsidRDefault="00E15E5D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имущественного вычета каждому из супругов определяется на основании платежных документов, подтверждающих расходы супругов на покупку жилья, уплату процентов по займу (кредиту), и </w:t>
      </w:r>
      <w:hyperlink r:id="rId9" w:history="1">
        <w:r w:rsidRPr="008410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заявления</w:t>
        </w:r>
      </w:hyperlink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распределении указанных расходов, в котором супругам необходимо указать согласованную сумму расходов (их долю в процентном выражении) для получения вычета каждым из них. Расходы на уплату процентов по займу (кредиту) могут быть распределены между супругами на основании заявления в любой пропорции независимо от порядка распределения расходов на покупку жилья (</w:t>
      </w:r>
      <w:proofErr w:type="spellStart"/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HYPERLINK consultantplus://offline/ref=E53C4576EE716F85E61B92140E4D0C022EFDD6CA79BE687E1A6BA8B6A7164E81E410BE0F499A2C93970717EA6C33DD5CD2F0EFA7B5AAF6m3i7O </w:instrTex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. 6 п. 3 ст. 220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НК РФ).</w:t>
      </w:r>
    </w:p>
    <w:p w:rsidR="003B2F75" w:rsidRPr="00841052" w:rsidRDefault="00E15E5D" w:rsidP="003B2F7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в налоговый орган потребуются документы (их копии), подтверждающие право на вычет и произведенные расходы, в частности:</w:t>
      </w:r>
    </w:p>
    <w:p w:rsidR="003B2F75" w:rsidRPr="00841052" w:rsidRDefault="003B2F75" w:rsidP="003B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- </w:t>
      </w:r>
      <w:r w:rsidR="00E15E5D" w:rsidRPr="008410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копии договора о приобретении недвижимости и документы, подтверждающие право собственности на нее (копия свидетельства о регистрации права собственности, которое выдавалось до 15.07.2016, или выписка из ЕГРН) - при приобретении жилого дома, квартиры, комнаты или доли в них;</w:t>
      </w:r>
    </w:p>
    <w:p w:rsidR="003B2F75" w:rsidRPr="00841052" w:rsidRDefault="003B2F75" w:rsidP="003B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E15E5D" w:rsidRPr="008410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копия договора участия в долевом строительстве и передаточного акта или иного документа о передаче объекта долевого строительства застройщиком и принятии его участником долевого строительства, подписанного сторонами, - при приобретении прав на квартиру, комнату или долю (доли) в них в строящемся доме;</w:t>
      </w:r>
    </w:p>
    <w:p w:rsidR="003B2F75" w:rsidRPr="00841052" w:rsidRDefault="003B2F75" w:rsidP="003B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E15E5D" w:rsidRPr="008410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договор о приобретении земельного участка или доли (долей) в нем - при приобретении земельного участка, на котором расположены приобретаемые жилой дом или доля (доли) в нем;</w:t>
      </w:r>
    </w:p>
    <w:p w:rsidR="003B2F75" w:rsidRPr="00841052" w:rsidRDefault="003B2F75" w:rsidP="003B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E15E5D" w:rsidRPr="008410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копия кредитного договора и справка банка о размере уплаченных процентов по кредиту;</w:t>
      </w:r>
    </w:p>
    <w:p w:rsidR="003B2F75" w:rsidRPr="00841052" w:rsidRDefault="003B2F75" w:rsidP="003B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E15E5D" w:rsidRPr="008410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платежные документы (например, акт о передаче денег за жилье продавцу или его расписка, банковские выписки о безналичном перечислении денег на счет продавца, банковские выписки о перечислении денег со счета заемщика на счет кредитной организации; квитанции к приходным кассовым ордерам - в случае внесения платежей в кассу кредитной организации);</w:t>
      </w:r>
    </w:p>
    <w:p w:rsidR="003B2F75" w:rsidRPr="00841052" w:rsidRDefault="003B2F75" w:rsidP="003B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E15E5D" w:rsidRPr="008410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справка о доходах (при представлении налоговой декларации);</w:t>
      </w:r>
    </w:p>
    <w:p w:rsidR="00603D8E" w:rsidRPr="00841052" w:rsidRDefault="003B2F75" w:rsidP="003B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E15E5D" w:rsidRPr="008410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 о распределении между супругами понесенных расходов.</w:t>
      </w:r>
    </w:p>
    <w:p w:rsidR="00603D8E" w:rsidRPr="00841052" w:rsidRDefault="00E15E5D" w:rsidP="003B2F7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может понадобиться</w:t>
      </w:r>
      <w:r w:rsidR="006C3C39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свидетельства о заключении брака</w:t>
      </w:r>
    </w:p>
    <w:p w:rsidR="006C3C39" w:rsidRPr="00841052" w:rsidRDefault="00E15E5D" w:rsidP="006C3C39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планируется по</w:t>
      </w:r>
      <w:r w:rsidR="00603D8E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лучать вычет у работодателя, то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представить в налоговый орган подтверждающие документы вместе с </w:t>
      </w:r>
      <w:hyperlink r:id="rId10" w:history="1">
        <w:r w:rsidRPr="008410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подтверждении права на имущественный налоговый вычет. </w:t>
      </w:r>
    </w:p>
    <w:p w:rsidR="004D0A4C" w:rsidRPr="00841052" w:rsidRDefault="00E15E5D" w:rsidP="003B2F7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подтверждении права на вычет выдается налоговым органом не позднее 30 календарных дней со дня подачи в налоговый орган заявления и подтверждающих документов (</w:t>
      </w:r>
      <w:proofErr w:type="spellStart"/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HYPERLINK consultantplus://offline/ref=3BB60DB0DA1954FB212B4C96FEA02AC1D9B339924B9FC163E2E43ECC8D64DFEEA7BCE927C264D23402EEB3D68F03C1286B5117177EC1e4N9L </w:instrTex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proofErr w:type="spellEnd"/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. 4 п. 8 ст. 220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НК РФ).</w:t>
      </w:r>
    </w:p>
    <w:p w:rsidR="00E15E5D" w:rsidRPr="00841052" w:rsidRDefault="004D0A4C" w:rsidP="006C3C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6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15E5D" w:rsidRPr="008410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квартира является единственным жильем и приобретена менее 3-х лет, оплачивается ли налог при ее продаже, если о</w:t>
      </w:r>
      <w:r w:rsidRPr="008410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продана по цене приобретения?</w:t>
      </w:r>
    </w:p>
    <w:p w:rsidR="004D0A4C" w:rsidRPr="00841052" w:rsidRDefault="004D0A4C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A4C" w:rsidRPr="00841052" w:rsidRDefault="00E15E5D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срок владения объектом недвижимости составляет три года, если право собственности на этот объект получено в порядке наследования или по договору дарения от члена семьи или близкого родственника; в результате приватизации; в результате передачи по договору пожизненного содержания с иждивением.</w:t>
      </w:r>
    </w:p>
    <w:p w:rsidR="003B2F75" w:rsidRPr="00841052" w:rsidRDefault="003B2F75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E5D" w:rsidRPr="00841052" w:rsidRDefault="00E15E5D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Минимальный срок владения три года также установлен для единственного жилья (Федеральный </w:t>
      </w:r>
      <w:hyperlink r:id="rId11" w:history="1">
        <w:r w:rsidRPr="008410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26.07.2019 N 210-ФЗ).</w:t>
      </w:r>
    </w:p>
    <w:p w:rsidR="003B2F75" w:rsidRPr="00841052" w:rsidRDefault="003B2F75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E5D" w:rsidRPr="00841052" w:rsidRDefault="00E15E5D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Единственное жилье считается таковым, если на дату государственной регистрации перехода к покупателю права собственности на жилое помещение у налогоплательщика нет в собственности (включая совместную собственность супругов) иного жилого помещения (доли в праве собственности на жилое 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помещение). При этом не учитывается жилье, которое налогоплательщик и (или) его супруг приобрели в течение 90 календарных дней до даты государственной регистрации перехода к покупателю права собственности на проданное жилое помещение от налогоплательщика, а также жилье, не являющееся совместно нажитым супругами.</w:t>
      </w:r>
    </w:p>
    <w:p w:rsidR="004D0A4C" w:rsidRPr="00841052" w:rsidRDefault="004D0A4C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E5D" w:rsidRPr="00841052" w:rsidRDefault="00E15E5D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соблюдении указанных положений трехлетний срок распространяется и на земельный участок, на котором расположено жилое помещение, и расположенные на указанном земельном участке хозяйственные строения и (или) сооружения. </w:t>
      </w:r>
    </w:p>
    <w:p w:rsidR="004D0A4C" w:rsidRPr="00841052" w:rsidRDefault="004D0A4C" w:rsidP="006C3C39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10C" w:rsidRPr="00841052" w:rsidRDefault="00E15E5D" w:rsidP="00322045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стоимость сделки по реализации имущества за налоговый период превышает 1 млн. руб., то возникает обязанность по представлению налоговой декларации. При этом может быть предоставлен имущественный налоговый вычет в размере доходов, полученных налогоплательщиком в налоговом периоде от продажи жилых домов, квартир, комнат, включая приватизированные жилые помещения, садовых домов или земельных участков или доли (долей) в указанном имуществе, находившихся в собственности налогоплательщика менее минимального предельного срока владения объектом недвижимого имущества, установленного в соответствии со статьей 217.1 </w:t>
      </w:r>
      <w:r w:rsidR="00841052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НК</w:t>
      </w: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превышающем в целом 1 000 000 рублей или плательщик может уменьшить сумму своих облагаемых налогом доходов на сумму фактически произведенных им и документально подтвержденных расходов, связанных </w:t>
      </w:r>
      <w:r w:rsidR="00322045"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приобретением этого имущества.</w:t>
      </w:r>
    </w:p>
    <w:p w:rsidR="00E15E5D" w:rsidRPr="00841052" w:rsidRDefault="00E15E5D" w:rsidP="00E15E5D">
      <w:pPr>
        <w:rPr>
          <w:rFonts w:ascii="Times New Roman" w:hAnsi="Times New Roman" w:cs="Times New Roman"/>
          <w:sz w:val="26"/>
          <w:szCs w:val="26"/>
        </w:rPr>
      </w:pPr>
    </w:p>
    <w:p w:rsidR="004D0A4C" w:rsidRPr="00841052" w:rsidRDefault="004D0A4C" w:rsidP="004D0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Начальник отдела:</w:t>
      </w:r>
    </w:p>
    <w:p w:rsidR="004D0A4C" w:rsidRPr="00841052" w:rsidRDefault="004D0A4C" w:rsidP="004D0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4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Э.В. Орехова ______________</w:t>
      </w:r>
    </w:p>
    <w:p w:rsidR="004D0A4C" w:rsidRPr="00841052" w:rsidRDefault="004D0A4C" w:rsidP="004D0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D0A4C" w:rsidRPr="00841052" w:rsidRDefault="004D0A4C" w:rsidP="00E15E5D">
      <w:pPr>
        <w:rPr>
          <w:rFonts w:ascii="Times New Roman" w:hAnsi="Times New Roman" w:cs="Times New Roman"/>
          <w:sz w:val="26"/>
          <w:szCs w:val="26"/>
        </w:rPr>
      </w:pPr>
    </w:p>
    <w:sectPr w:rsidR="004D0A4C" w:rsidRPr="0084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E0F7BD9"/>
    <w:multiLevelType w:val="hybridMultilevel"/>
    <w:tmpl w:val="5B2C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155"/>
    <w:multiLevelType w:val="hybridMultilevel"/>
    <w:tmpl w:val="CFD6D3A0"/>
    <w:lvl w:ilvl="0" w:tplc="4CD275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C030C"/>
    <w:multiLevelType w:val="hybridMultilevel"/>
    <w:tmpl w:val="2D2A0DBA"/>
    <w:lvl w:ilvl="0" w:tplc="7A9E8068">
      <w:start w:val="1"/>
      <w:numFmt w:val="bullet"/>
      <w:lvlText w:val=""/>
      <w:lvlJc w:val="left"/>
      <w:pPr>
        <w:tabs>
          <w:tab w:val="num" w:pos="540"/>
        </w:tabs>
        <w:ind w:left="540" w:hanging="227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B70BF"/>
    <w:multiLevelType w:val="hybridMultilevel"/>
    <w:tmpl w:val="1CCC3C10"/>
    <w:lvl w:ilvl="0" w:tplc="B9765CE2">
      <w:start w:val="1"/>
      <w:numFmt w:val="bullet"/>
      <w:lvlText w:val=""/>
      <w:lvlJc w:val="left"/>
      <w:pPr>
        <w:tabs>
          <w:tab w:val="num" w:pos="540"/>
        </w:tabs>
        <w:ind w:left="540" w:hanging="227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35488"/>
    <w:multiLevelType w:val="hybridMultilevel"/>
    <w:tmpl w:val="5AC245C2"/>
    <w:lvl w:ilvl="0" w:tplc="DCC65AB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7"/>
    <w:rsid w:val="00322045"/>
    <w:rsid w:val="003B2F75"/>
    <w:rsid w:val="003D7A46"/>
    <w:rsid w:val="004D0A4C"/>
    <w:rsid w:val="004F1581"/>
    <w:rsid w:val="00562120"/>
    <w:rsid w:val="00603D8E"/>
    <w:rsid w:val="006C3C39"/>
    <w:rsid w:val="006C500A"/>
    <w:rsid w:val="00841052"/>
    <w:rsid w:val="008B010C"/>
    <w:rsid w:val="008C78A8"/>
    <w:rsid w:val="008F62CA"/>
    <w:rsid w:val="0098327C"/>
    <w:rsid w:val="00BB66B4"/>
    <w:rsid w:val="00C27DE8"/>
    <w:rsid w:val="00CC0217"/>
    <w:rsid w:val="00E15E5D"/>
    <w:rsid w:val="00E9377F"/>
    <w:rsid w:val="00FC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E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B2F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E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B2F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60DB0DA1954FB212B4C96FEA02AC1D8BB359D4C9CC163E2E43ECC8D64DFEEA7BCE92EC662DB3E56B4A3D2C656C536634E081460C148D7eFND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11A8E6EB9B2CDB882EA4D302B333E40DCDCC36325AB6B62C37021DD117CEF18429022EB7D830F38E1C2981A8CA702729CE3E2D31F0A5FBI7R6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64493DF7689EB276FBC88F9CFF6AFCEC55CEE657FE546665F42C15D73E0E69DDF9D33E78F27C827DF54EB1A0FD18F9C07431D8CEF522JFN7N" TargetMode="External"/><Relationship Id="rId11" Type="http://schemas.openxmlformats.org/officeDocument/2006/relationships/hyperlink" Target="consultantplus://offline/ref=31813CEB31ED0469E0C3C1FDDC12E3652BF352FCBDDE6D3EBAAB9A202F59287E10771B65CB0D9E88C2F78F7F18D58BD3EB703D44200FDFAA71G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B60DB0DA1954FB212B4C96FEA02AC1D8BB359D4C9CC163E2E43ECC8D64DFEEA7BCE92EC662DB3E56B4A3D2C656C536634E081460C148D7eFN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3C4576EE716F85E61B9A1A1F4D0C0222F8D2CB72B635741232A4B4A0191184E301BE0F4B802B96825146ACm3i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Орехова Элеонора Викторовна</cp:lastModifiedBy>
  <cp:revision>9</cp:revision>
  <dcterms:created xsi:type="dcterms:W3CDTF">2023-05-23T12:30:00Z</dcterms:created>
  <dcterms:modified xsi:type="dcterms:W3CDTF">2023-05-30T10:50:00Z</dcterms:modified>
</cp:coreProperties>
</file>